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702" w:rsidRDefault="00AF1702" w:rsidP="00AF1702">
      <w:pPr>
        <w:spacing w:line="360" w:lineRule="auto"/>
        <w:rPr>
          <w:rFonts w:ascii="黑体" w:eastAsia="黑体" w:hAnsi="黑体"/>
          <w:sz w:val="32"/>
          <w:szCs w:val="32"/>
        </w:rPr>
      </w:pPr>
      <w:r>
        <w:rPr>
          <w:rFonts w:ascii="黑体" w:eastAsia="黑体" w:hAnsi="黑体" w:hint="eastAsia"/>
          <w:sz w:val="32"/>
          <w:szCs w:val="32"/>
        </w:rPr>
        <w:t>附件</w:t>
      </w:r>
    </w:p>
    <w:p w:rsidR="00AF1702" w:rsidRDefault="00AF1702" w:rsidP="00AF1702">
      <w:pPr>
        <w:spacing w:line="360" w:lineRule="auto"/>
        <w:rPr>
          <w:rFonts w:ascii="仿宋_GB2312" w:eastAsia="仿宋_GB2312" w:hAnsi="Times New Roman" w:hint="eastAsia"/>
          <w:sz w:val="32"/>
          <w:szCs w:val="32"/>
        </w:rPr>
      </w:pPr>
    </w:p>
    <w:p w:rsidR="00AF1702" w:rsidRDefault="00AF1702" w:rsidP="00AF1702">
      <w:pPr>
        <w:adjustRightInd w:val="0"/>
        <w:spacing w:line="360" w:lineRule="auto"/>
        <w:jc w:val="center"/>
        <w:rPr>
          <w:rFonts w:ascii="黑体" w:eastAsia="黑体" w:hAnsi="黑体" w:hint="eastAsia"/>
          <w:sz w:val="36"/>
          <w:szCs w:val="36"/>
        </w:rPr>
      </w:pPr>
      <w:r>
        <w:rPr>
          <w:rFonts w:ascii="黑体" w:eastAsia="黑体" w:hAnsi="黑体" w:hint="eastAsia"/>
          <w:sz w:val="36"/>
          <w:szCs w:val="36"/>
        </w:rPr>
        <w:t>农业部关于实施带鱼等15种重要经济鱼类最小可捕标准及幼鱼比例管理制度的通告</w:t>
      </w:r>
    </w:p>
    <w:p w:rsidR="00AF1702" w:rsidRDefault="00AF1702" w:rsidP="00AF1702">
      <w:pPr>
        <w:adjustRightInd w:val="0"/>
        <w:spacing w:line="360" w:lineRule="auto"/>
        <w:jc w:val="center"/>
        <w:rPr>
          <w:rFonts w:ascii="楷体_GB2312" w:eastAsia="楷体_GB2312" w:hAnsi="楷体" w:hint="eastAsia"/>
          <w:sz w:val="30"/>
          <w:szCs w:val="30"/>
        </w:rPr>
      </w:pPr>
      <w:r>
        <w:rPr>
          <w:rFonts w:ascii="楷体_GB2312" w:eastAsia="楷体_GB2312" w:hAnsi="楷体" w:hint="eastAsia"/>
          <w:sz w:val="30"/>
          <w:szCs w:val="30"/>
        </w:rPr>
        <w:t>（征求意见稿）</w:t>
      </w:r>
    </w:p>
    <w:p w:rsidR="00AF1702" w:rsidRDefault="00AF1702" w:rsidP="00AF1702">
      <w:pPr>
        <w:adjustRightInd w:val="0"/>
        <w:spacing w:line="360" w:lineRule="auto"/>
        <w:jc w:val="center"/>
        <w:rPr>
          <w:rFonts w:ascii="楷体" w:eastAsia="楷体" w:hAnsi="楷体" w:hint="eastAsia"/>
          <w:sz w:val="30"/>
          <w:szCs w:val="30"/>
        </w:rPr>
      </w:pPr>
    </w:p>
    <w:p w:rsidR="00AF1702" w:rsidRDefault="00AF1702" w:rsidP="00AF1702">
      <w:pPr>
        <w:adjustRightInd w:val="0"/>
        <w:spacing w:line="360" w:lineRule="auto"/>
        <w:rPr>
          <w:rFonts w:ascii="仿宋_GB2312" w:eastAsia="仿宋_GB2312" w:hAnsi="Times New Roman" w:hint="eastAsia"/>
          <w:sz w:val="32"/>
          <w:szCs w:val="32"/>
        </w:rPr>
      </w:pPr>
      <w:r>
        <w:rPr>
          <w:rFonts w:ascii="仿宋_GB2312" w:eastAsia="仿宋_GB2312" w:hint="eastAsia"/>
          <w:sz w:val="32"/>
          <w:szCs w:val="32"/>
        </w:rPr>
        <w:t xml:space="preserve">    为有效保护幼鱼资源，我部决定对带鱼等15种重要经济鱼类实施最小可捕标准及幼鱼比例管理，现通告如下。</w:t>
      </w:r>
    </w:p>
    <w:p w:rsidR="00AF1702" w:rsidRDefault="00AF1702" w:rsidP="00AF1702">
      <w:pPr>
        <w:adjustRightInd w:val="0"/>
        <w:spacing w:line="360" w:lineRule="auto"/>
        <w:ind w:firstLineChars="200" w:firstLine="640"/>
        <w:rPr>
          <w:rFonts w:ascii="黑体" w:eastAsia="黑体" w:hAnsi="黑体" w:hint="eastAsia"/>
          <w:sz w:val="32"/>
          <w:szCs w:val="32"/>
        </w:rPr>
      </w:pPr>
      <w:r>
        <w:rPr>
          <w:rFonts w:ascii="黑体" w:eastAsia="黑体" w:hAnsi="黑体" w:hint="eastAsia"/>
          <w:sz w:val="32"/>
          <w:szCs w:val="32"/>
        </w:rPr>
        <w:t>一、15种重要经济鱼类最小可捕规格</w:t>
      </w:r>
    </w:p>
    <w:p w:rsidR="00AF1702" w:rsidRDefault="00AF1702" w:rsidP="00AF1702">
      <w:pPr>
        <w:adjustRightInd w:val="0"/>
        <w:spacing w:line="360" w:lineRule="auto"/>
        <w:ind w:firstLineChars="200" w:firstLine="640"/>
        <w:rPr>
          <w:rFonts w:ascii="仿宋_GB2312" w:eastAsia="仿宋_GB2312" w:hAnsi="Times New Roman" w:hint="eastAsia"/>
          <w:sz w:val="32"/>
          <w:szCs w:val="32"/>
        </w:rPr>
      </w:pPr>
      <w:r>
        <w:rPr>
          <w:rFonts w:ascii="仿宋_GB2312" w:eastAsia="仿宋_GB2312" w:hint="eastAsia"/>
          <w:sz w:val="32"/>
          <w:szCs w:val="32"/>
        </w:rPr>
        <w:t>下表规定了我国近海15种重要经济鱼类的渔业管理最小可捕规格，各鱼种个体未达到相应标准的需纳入幼鱼比例管理。</w:t>
      </w:r>
    </w:p>
    <w:tbl>
      <w:tblPr>
        <w:tblW w:w="5000" w:type="pct"/>
        <w:tblLook w:val="04A0"/>
      </w:tblPr>
      <w:tblGrid>
        <w:gridCol w:w="4439"/>
        <w:gridCol w:w="2194"/>
        <w:gridCol w:w="1895"/>
      </w:tblGrid>
      <w:tr w:rsidR="00AF1702" w:rsidTr="00AF1702">
        <w:trPr>
          <w:trHeight w:val="499"/>
        </w:trPr>
        <w:tc>
          <w:tcPr>
            <w:tcW w:w="2658" w:type="pct"/>
            <w:tcBorders>
              <w:top w:val="single" w:sz="12" w:space="0" w:color="auto"/>
              <w:left w:val="nil"/>
              <w:bottom w:val="single" w:sz="8" w:space="0" w:color="auto"/>
              <w:right w:val="nil"/>
            </w:tcBorders>
            <w:noWrap/>
            <w:vAlign w:val="center"/>
            <w:hideMark/>
          </w:tcPr>
          <w:p w:rsidR="00AF1702" w:rsidRDefault="00AF170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rPr>
              <w:t>种类</w:t>
            </w:r>
          </w:p>
        </w:tc>
        <w:tc>
          <w:tcPr>
            <w:tcW w:w="1231" w:type="pct"/>
            <w:tcBorders>
              <w:top w:val="single" w:sz="12" w:space="0" w:color="auto"/>
              <w:left w:val="nil"/>
              <w:bottom w:val="single" w:sz="8" w:space="0" w:color="auto"/>
              <w:right w:val="nil"/>
            </w:tcBorders>
            <w:noWrap/>
            <w:vAlign w:val="center"/>
            <w:hideMark/>
          </w:tcPr>
          <w:p w:rsidR="00AF1702" w:rsidRDefault="00AF170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rPr>
              <w:t>渤海、黄海、东海（毫米）</w:t>
            </w:r>
          </w:p>
        </w:tc>
        <w:tc>
          <w:tcPr>
            <w:tcW w:w="1111" w:type="pct"/>
            <w:tcBorders>
              <w:top w:val="single" w:sz="12" w:space="0" w:color="auto"/>
              <w:left w:val="nil"/>
              <w:bottom w:val="single" w:sz="8" w:space="0" w:color="auto"/>
              <w:right w:val="nil"/>
            </w:tcBorders>
            <w:noWrap/>
            <w:vAlign w:val="center"/>
            <w:hideMark/>
          </w:tcPr>
          <w:p w:rsidR="00AF1702" w:rsidRDefault="00AF1702">
            <w:pPr>
              <w:widowControl/>
              <w:jc w:val="center"/>
              <w:rPr>
                <w:rFonts w:ascii="黑体" w:eastAsia="黑体" w:hAnsi="黑体" w:cs="宋体"/>
                <w:color w:val="000000"/>
                <w:kern w:val="0"/>
                <w:sz w:val="24"/>
                <w:szCs w:val="24"/>
              </w:rPr>
            </w:pPr>
            <w:r>
              <w:rPr>
                <w:rFonts w:ascii="黑体" w:eastAsia="黑体" w:hAnsi="黑体" w:cs="宋体" w:hint="eastAsia"/>
                <w:color w:val="000000"/>
                <w:kern w:val="0"/>
                <w:sz w:val="24"/>
              </w:rPr>
              <w:t>南海（毫米）</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短尾大眼鲷（</w:t>
            </w:r>
            <w:r>
              <w:rPr>
                <w:rFonts w:ascii="仿宋_GB2312" w:eastAsia="仿宋_GB2312" w:hAnsi="宋体" w:cs="宋体" w:hint="eastAsia"/>
                <w:i/>
                <w:color w:val="000000"/>
                <w:kern w:val="0"/>
                <w:sz w:val="24"/>
              </w:rPr>
              <w:t>Priacanthus macracanthus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体长≥160</w:t>
            </w:r>
          </w:p>
        </w:tc>
        <w:tc>
          <w:tcPr>
            <w:tcW w:w="111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体长≥160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蓝圆</w:t>
            </w:r>
            <w:r>
              <w:rPr>
                <w:rFonts w:ascii="宋体" w:eastAsia="宋体" w:hAnsi="宋体" w:cs="宋体" w:hint="eastAsia"/>
                <w:color w:val="000000"/>
                <w:kern w:val="0"/>
                <w:sz w:val="24"/>
              </w:rPr>
              <w:t>鲹</w:t>
            </w:r>
            <w:r>
              <w:rPr>
                <w:rFonts w:ascii="仿宋_GB2312" w:eastAsia="仿宋_GB2312" w:hAnsi="仿宋_GB2312" w:cs="仿宋_GB2312" w:hint="eastAsia"/>
                <w:color w:val="000000"/>
                <w:kern w:val="0"/>
                <w:sz w:val="24"/>
              </w:rPr>
              <w:t>（</w:t>
            </w:r>
            <w:r>
              <w:rPr>
                <w:rFonts w:ascii="仿宋_GB2312" w:eastAsia="仿宋_GB2312" w:hAnsi="宋体" w:cs="宋体" w:hint="eastAsia"/>
                <w:i/>
                <w:color w:val="000000"/>
                <w:kern w:val="0"/>
                <w:sz w:val="24"/>
              </w:rPr>
              <w:t>Decapterus maruadsi</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叉长≥150</w:t>
            </w:r>
          </w:p>
        </w:tc>
        <w:tc>
          <w:tcPr>
            <w:tcW w:w="111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叉长≥150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竹荚鱼（</w:t>
            </w:r>
            <w:r>
              <w:rPr>
                <w:rFonts w:ascii="仿宋_GB2312" w:eastAsia="仿宋_GB2312" w:hAnsi="宋体" w:cs="宋体" w:hint="eastAsia"/>
                <w:i/>
                <w:color w:val="000000"/>
                <w:kern w:val="0"/>
                <w:sz w:val="24"/>
              </w:rPr>
              <w:t>Trachurus japonicus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叉长≥150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叉长≥150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白姑鱼（</w:t>
            </w:r>
            <w:r>
              <w:rPr>
                <w:rFonts w:ascii="仿宋_GB2312" w:eastAsia="仿宋_GB2312" w:hAnsi="宋体" w:cs="宋体" w:hint="eastAsia"/>
                <w:i/>
                <w:color w:val="000000"/>
                <w:kern w:val="0"/>
                <w:sz w:val="24"/>
              </w:rPr>
              <w:t>Argyrosomus argentatus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体长≥150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体长≥150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小黄鱼(</w:t>
            </w:r>
            <w:r>
              <w:rPr>
                <w:rFonts w:ascii="仿宋_GB2312" w:eastAsia="仿宋_GB2312" w:hAnsi="宋体" w:cs="宋体" w:hint="eastAsia"/>
                <w:i/>
                <w:color w:val="000000"/>
                <w:kern w:val="0"/>
                <w:sz w:val="24"/>
              </w:rPr>
              <w:t>Larimichthys polyactis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体长≥145</w:t>
            </w:r>
          </w:p>
        </w:tc>
        <w:tc>
          <w:tcPr>
            <w:tcW w:w="1111" w:type="pct"/>
            <w:vAlign w:val="center"/>
          </w:tcPr>
          <w:p w:rsidR="00AF1702" w:rsidRDefault="00AF1702">
            <w:pPr>
              <w:widowControl/>
              <w:jc w:val="center"/>
              <w:rPr>
                <w:rFonts w:ascii="仿宋_GB2312" w:eastAsia="仿宋_GB2312" w:hAnsi="宋体" w:cs="宋体"/>
                <w:color w:val="000000"/>
                <w:kern w:val="0"/>
                <w:sz w:val="24"/>
                <w:szCs w:val="24"/>
              </w:rPr>
            </w:pP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黄鲷（</w:t>
            </w:r>
            <w:r>
              <w:rPr>
                <w:rFonts w:ascii="仿宋_GB2312" w:eastAsia="仿宋_GB2312" w:hAnsi="宋体" w:cs="宋体" w:hint="eastAsia"/>
                <w:i/>
                <w:color w:val="000000"/>
                <w:kern w:val="0"/>
                <w:sz w:val="24"/>
              </w:rPr>
              <w:t>Dentex tumifrons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体长≥130</w:t>
            </w:r>
          </w:p>
        </w:tc>
        <w:tc>
          <w:tcPr>
            <w:tcW w:w="111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体长≥130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二长棘鲷（</w:t>
            </w:r>
            <w:r>
              <w:rPr>
                <w:rFonts w:ascii="仿宋_GB2312" w:eastAsia="仿宋_GB2312" w:hAnsi="宋体" w:cs="宋体" w:hint="eastAsia"/>
                <w:i/>
                <w:color w:val="000000"/>
                <w:kern w:val="0"/>
                <w:sz w:val="24"/>
              </w:rPr>
              <w:t>Paragyrops edita</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体长≥100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体长≥100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带鱼(</w:t>
            </w:r>
            <w:r>
              <w:rPr>
                <w:rFonts w:ascii="仿宋_GB2312" w:eastAsia="仿宋_GB2312" w:hAnsi="宋体" w:cs="宋体" w:hint="eastAsia"/>
                <w:i/>
                <w:color w:val="000000"/>
                <w:kern w:val="0"/>
                <w:sz w:val="24"/>
              </w:rPr>
              <w:t>Trichiurus spp</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肛长≥205</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肛长≥230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鲐（</w:t>
            </w:r>
            <w:r>
              <w:rPr>
                <w:rFonts w:ascii="仿宋_GB2312" w:eastAsia="仿宋_GB2312" w:hAnsi="宋体" w:cs="宋体" w:hint="eastAsia"/>
                <w:i/>
                <w:color w:val="000000"/>
                <w:kern w:val="0"/>
                <w:sz w:val="24"/>
              </w:rPr>
              <w:t>Scomber japonicus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叉长≥220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叉长≥220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蓝点马鲛（</w:t>
            </w:r>
            <w:r>
              <w:rPr>
                <w:rFonts w:ascii="仿宋_GB2312" w:eastAsia="仿宋_GB2312" w:hAnsi="宋体" w:cs="宋体" w:hint="eastAsia"/>
                <w:i/>
                <w:color w:val="000000"/>
                <w:kern w:val="0"/>
                <w:sz w:val="24"/>
              </w:rPr>
              <w:t>Scomberomorus niphonius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叉长≥380</w:t>
            </w:r>
          </w:p>
        </w:tc>
        <w:tc>
          <w:tcPr>
            <w:tcW w:w="1111" w:type="pct"/>
            <w:vAlign w:val="center"/>
          </w:tcPr>
          <w:p w:rsidR="00AF1702" w:rsidRDefault="00AF1702">
            <w:pPr>
              <w:widowControl/>
              <w:jc w:val="center"/>
              <w:rPr>
                <w:rFonts w:ascii="仿宋_GB2312" w:eastAsia="仿宋_GB2312" w:hAnsi="宋体" w:cs="宋体"/>
                <w:color w:val="000000"/>
                <w:kern w:val="0"/>
                <w:sz w:val="24"/>
                <w:szCs w:val="24"/>
              </w:rPr>
            </w:pP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灰鲳（</w:t>
            </w:r>
            <w:r>
              <w:rPr>
                <w:rFonts w:ascii="仿宋_GB2312" w:eastAsia="仿宋_GB2312" w:hAnsi="宋体" w:cs="宋体" w:hint="eastAsia"/>
                <w:i/>
                <w:color w:val="000000"/>
                <w:kern w:val="0"/>
                <w:sz w:val="24"/>
              </w:rPr>
              <w:t>Pampus cinereus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叉长≥180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叉长≥180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lastRenderedPageBreak/>
              <w:t>银鲳(</w:t>
            </w:r>
            <w:r>
              <w:rPr>
                <w:rFonts w:ascii="仿宋_GB2312" w:eastAsia="仿宋_GB2312" w:hAnsi="宋体" w:cs="宋体" w:hint="eastAsia"/>
                <w:i/>
                <w:color w:val="000000"/>
                <w:kern w:val="0"/>
                <w:sz w:val="24"/>
              </w:rPr>
              <w:t>Pampus argenteus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叉长≥140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叉长≥150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刺鲳（</w:t>
            </w:r>
            <w:r>
              <w:rPr>
                <w:rFonts w:ascii="仿宋_GB2312" w:eastAsia="仿宋_GB2312" w:hAnsi="宋体" w:cs="宋体" w:hint="eastAsia"/>
                <w:i/>
                <w:color w:val="000000"/>
                <w:kern w:val="0"/>
                <w:sz w:val="24"/>
              </w:rPr>
              <w:t>Psenopsis anomala</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叉长≥130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叉长≥130</w:t>
            </w:r>
          </w:p>
        </w:tc>
      </w:tr>
      <w:tr w:rsidR="00AF1702" w:rsidTr="00AF1702">
        <w:trPr>
          <w:trHeight w:val="499"/>
        </w:trPr>
        <w:tc>
          <w:tcPr>
            <w:tcW w:w="2658" w:type="pct"/>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绿鳍马面</w:t>
            </w:r>
            <w:r>
              <w:rPr>
                <w:rFonts w:ascii="宋体" w:eastAsia="宋体" w:hAnsi="宋体" w:cs="宋体" w:hint="eastAsia"/>
                <w:color w:val="000000"/>
                <w:kern w:val="0"/>
                <w:sz w:val="24"/>
              </w:rPr>
              <w:t>鲀</w:t>
            </w:r>
            <w:r>
              <w:rPr>
                <w:rFonts w:ascii="仿宋_GB2312" w:eastAsia="仿宋_GB2312" w:hAnsi="仿宋_GB2312" w:cs="仿宋_GB2312" w:hint="eastAsia"/>
                <w:color w:val="000000"/>
                <w:kern w:val="0"/>
                <w:sz w:val="24"/>
              </w:rPr>
              <w:t>（</w:t>
            </w:r>
            <w:r>
              <w:rPr>
                <w:rFonts w:ascii="仿宋_GB2312" w:eastAsia="仿宋_GB2312" w:hAnsi="宋体" w:cs="宋体" w:hint="eastAsia"/>
                <w:i/>
                <w:color w:val="000000"/>
                <w:kern w:val="0"/>
                <w:sz w:val="24"/>
              </w:rPr>
              <w:t>Thamnaconus septentrionalis</w:t>
            </w:r>
            <w:r>
              <w:rPr>
                <w:rFonts w:ascii="仿宋_GB2312" w:eastAsia="仿宋_GB2312" w:hAnsi="宋体" w:cs="宋体" w:hint="eastAsia"/>
                <w:color w:val="000000"/>
                <w:kern w:val="0"/>
                <w:sz w:val="24"/>
              </w:rPr>
              <w:t>）</w:t>
            </w:r>
          </w:p>
        </w:tc>
        <w:tc>
          <w:tcPr>
            <w:tcW w:w="1231" w:type="pct"/>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体长≥160</w:t>
            </w:r>
          </w:p>
        </w:tc>
        <w:tc>
          <w:tcPr>
            <w:tcW w:w="1111" w:type="pct"/>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体长≥160</w:t>
            </w:r>
          </w:p>
        </w:tc>
      </w:tr>
      <w:tr w:rsidR="00AF1702" w:rsidTr="00AF1702">
        <w:trPr>
          <w:trHeight w:val="499"/>
        </w:trPr>
        <w:tc>
          <w:tcPr>
            <w:tcW w:w="2658" w:type="pct"/>
            <w:tcBorders>
              <w:top w:val="nil"/>
              <w:left w:val="nil"/>
              <w:bottom w:val="single" w:sz="12" w:space="0" w:color="auto"/>
              <w:right w:val="nil"/>
            </w:tcBorders>
            <w:noWrap/>
            <w:vAlign w:val="center"/>
            <w:hideMark/>
          </w:tcPr>
          <w:p w:rsidR="00AF1702" w:rsidRDefault="00AF1702">
            <w:pPr>
              <w:widowControl/>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黄鳍马面</w:t>
            </w:r>
            <w:r>
              <w:rPr>
                <w:rFonts w:ascii="宋体" w:eastAsia="宋体" w:hAnsi="宋体" w:cs="宋体" w:hint="eastAsia"/>
                <w:color w:val="000000"/>
                <w:kern w:val="0"/>
                <w:sz w:val="24"/>
              </w:rPr>
              <w:t>鲀</w:t>
            </w:r>
            <w:r>
              <w:rPr>
                <w:rFonts w:ascii="仿宋_GB2312" w:eastAsia="仿宋_GB2312" w:hAnsi="仿宋_GB2312" w:cs="仿宋_GB2312" w:hint="eastAsia"/>
                <w:color w:val="000000"/>
                <w:kern w:val="0"/>
                <w:sz w:val="24"/>
              </w:rPr>
              <w:t>（</w:t>
            </w:r>
            <w:r>
              <w:rPr>
                <w:rFonts w:ascii="仿宋_GB2312" w:eastAsia="仿宋_GB2312" w:hAnsi="宋体" w:cs="宋体" w:hint="eastAsia"/>
                <w:i/>
                <w:color w:val="000000"/>
                <w:kern w:val="0"/>
                <w:sz w:val="24"/>
              </w:rPr>
              <w:t>Thamnaconus hypargyreus</w:t>
            </w:r>
            <w:r>
              <w:rPr>
                <w:rFonts w:ascii="仿宋_GB2312" w:eastAsia="仿宋_GB2312" w:hAnsi="宋体" w:cs="宋体" w:hint="eastAsia"/>
                <w:color w:val="000000"/>
                <w:kern w:val="0"/>
                <w:sz w:val="24"/>
              </w:rPr>
              <w:t>）</w:t>
            </w:r>
          </w:p>
        </w:tc>
        <w:tc>
          <w:tcPr>
            <w:tcW w:w="1231" w:type="pct"/>
            <w:tcBorders>
              <w:top w:val="nil"/>
              <w:left w:val="nil"/>
              <w:bottom w:val="single" w:sz="12" w:space="0" w:color="auto"/>
              <w:right w:val="nil"/>
            </w:tcBorders>
            <w:noWrap/>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体长≥100</w:t>
            </w:r>
          </w:p>
        </w:tc>
        <w:tc>
          <w:tcPr>
            <w:tcW w:w="1111" w:type="pct"/>
            <w:tcBorders>
              <w:top w:val="nil"/>
              <w:left w:val="nil"/>
              <w:bottom w:val="single" w:sz="12" w:space="0" w:color="auto"/>
              <w:right w:val="nil"/>
            </w:tcBorders>
            <w:vAlign w:val="center"/>
            <w:hideMark/>
          </w:tcPr>
          <w:p w:rsidR="00AF1702" w:rsidRDefault="00AF1702">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rPr>
              <w:t>体长≥100</w:t>
            </w:r>
          </w:p>
        </w:tc>
      </w:tr>
      <w:tr w:rsidR="00AF1702" w:rsidTr="00AF1702">
        <w:trPr>
          <w:trHeight w:val="499"/>
        </w:trPr>
        <w:tc>
          <w:tcPr>
            <w:tcW w:w="5000" w:type="pct"/>
            <w:gridSpan w:val="3"/>
            <w:tcBorders>
              <w:top w:val="single" w:sz="12" w:space="0" w:color="auto"/>
              <w:left w:val="nil"/>
              <w:bottom w:val="nil"/>
              <w:right w:val="nil"/>
            </w:tcBorders>
            <w:noWrap/>
            <w:vAlign w:val="center"/>
            <w:hideMark/>
          </w:tcPr>
          <w:p w:rsidR="00AF1702" w:rsidRDefault="00AF1702">
            <w:pPr>
              <w:widowControl/>
              <w:rPr>
                <w:rFonts w:ascii="宋体" w:hAnsi="宋体" w:cs="宋体"/>
                <w:color w:val="000000"/>
                <w:kern w:val="0"/>
                <w:szCs w:val="21"/>
              </w:rPr>
            </w:pPr>
            <w:r>
              <w:rPr>
                <w:rFonts w:ascii="宋体" w:hAnsi="宋体" w:cs="宋体" w:hint="eastAsia"/>
                <w:color w:val="000000"/>
                <w:kern w:val="0"/>
                <w:szCs w:val="21"/>
              </w:rPr>
              <w:t xml:space="preserve">注：测量方法由 GB/T 12763.6-2007 中 </w:t>
            </w:r>
            <w:smartTag w:uri="urn:schemas-microsoft-com:office:smarttags" w:element="chsdate">
              <w:smartTagPr>
                <w:attr w:name="Year" w:val="1899"/>
                <w:attr w:name="Month" w:val="12"/>
                <w:attr w:name="Day" w:val="30"/>
                <w:attr w:name="IsLunarDate" w:val="False"/>
                <w:attr w:name="IsROCDate" w:val="False"/>
              </w:smartTagPr>
              <w:r>
                <w:rPr>
                  <w:rFonts w:ascii="宋体" w:hAnsi="宋体" w:cs="宋体" w:hint="eastAsia"/>
                  <w:color w:val="000000"/>
                  <w:kern w:val="0"/>
                  <w:szCs w:val="21"/>
                </w:rPr>
                <w:t>14.3.4</w:t>
              </w:r>
            </w:smartTag>
            <w:r>
              <w:rPr>
                <w:rFonts w:ascii="宋体" w:hAnsi="宋体" w:cs="宋体" w:hint="eastAsia"/>
                <w:color w:val="000000"/>
                <w:kern w:val="0"/>
                <w:szCs w:val="21"/>
              </w:rPr>
              <w:t xml:space="preserve">.1.1 相关内容规定，鱼体体长、叉长和肛长由GB/T 8588-2001相关术语界定。 </w:t>
            </w:r>
          </w:p>
        </w:tc>
      </w:tr>
    </w:tbl>
    <w:p w:rsidR="00AF1702" w:rsidRDefault="00AF1702" w:rsidP="00AF1702">
      <w:pPr>
        <w:adjustRightInd w:val="0"/>
        <w:spacing w:line="360" w:lineRule="auto"/>
        <w:ind w:firstLineChars="200" w:firstLine="640"/>
        <w:rPr>
          <w:rFonts w:ascii="黑体" w:eastAsia="黑体" w:hAnsi="黑体" w:cs="Times New Roman" w:hint="eastAsia"/>
          <w:sz w:val="32"/>
          <w:szCs w:val="32"/>
        </w:rPr>
      </w:pPr>
      <w:r>
        <w:rPr>
          <w:rFonts w:ascii="黑体" w:eastAsia="黑体" w:hAnsi="黑体" w:hint="eastAsia"/>
          <w:sz w:val="32"/>
          <w:szCs w:val="32"/>
        </w:rPr>
        <w:t>二、重要经济鱼类幼鱼比例</w:t>
      </w:r>
    </w:p>
    <w:p w:rsidR="00AF1702" w:rsidRDefault="00AF1702" w:rsidP="00AF1702">
      <w:pPr>
        <w:adjustRightInd w:val="0"/>
        <w:spacing w:line="360" w:lineRule="auto"/>
        <w:ind w:firstLineChars="200" w:firstLine="640"/>
        <w:rPr>
          <w:rFonts w:ascii="仿宋_GB2312" w:eastAsia="仿宋_GB2312" w:hAnsi="Times New Roman" w:hint="eastAsia"/>
          <w:sz w:val="32"/>
          <w:szCs w:val="32"/>
        </w:rPr>
      </w:pPr>
      <w:r>
        <w:rPr>
          <w:rFonts w:ascii="仿宋_GB2312" w:eastAsia="仿宋_GB2312" w:hint="eastAsia"/>
          <w:sz w:val="32"/>
          <w:szCs w:val="32"/>
        </w:rPr>
        <w:t>在单网次或单航次渔获物中，上述品种幼鱼重量不得超过该品种总重量的20%。</w:t>
      </w:r>
    </w:p>
    <w:p w:rsidR="00AF1702" w:rsidRDefault="00AF1702" w:rsidP="00AF1702">
      <w:pPr>
        <w:adjustRightInd w:val="0"/>
        <w:spacing w:line="360" w:lineRule="auto"/>
        <w:ind w:firstLineChars="200" w:firstLine="640"/>
        <w:rPr>
          <w:rFonts w:ascii="黑体" w:eastAsia="黑体" w:hAnsi="黑体" w:hint="eastAsia"/>
          <w:sz w:val="32"/>
          <w:szCs w:val="32"/>
        </w:rPr>
      </w:pPr>
      <w:r>
        <w:rPr>
          <w:rFonts w:ascii="黑体" w:eastAsia="黑体" w:hAnsi="黑体" w:hint="eastAsia"/>
          <w:sz w:val="32"/>
          <w:szCs w:val="32"/>
        </w:rPr>
        <w:t>三、适用范围</w:t>
      </w:r>
    </w:p>
    <w:p w:rsidR="00AF1702" w:rsidRDefault="00AF1702" w:rsidP="00AF1702">
      <w:pPr>
        <w:adjustRightInd w:val="0"/>
        <w:spacing w:line="360" w:lineRule="auto"/>
        <w:ind w:firstLineChars="200" w:firstLine="640"/>
        <w:rPr>
          <w:rFonts w:ascii="仿宋_GB2312" w:eastAsia="仿宋_GB2312" w:hAnsi="Times New Roman" w:hint="eastAsia"/>
          <w:sz w:val="32"/>
          <w:szCs w:val="32"/>
        </w:rPr>
      </w:pPr>
      <w:r>
        <w:rPr>
          <w:rFonts w:ascii="仿宋_GB2312" w:eastAsia="仿宋_GB2312" w:hint="eastAsia"/>
          <w:sz w:val="32"/>
          <w:szCs w:val="32"/>
        </w:rPr>
        <w:t>我国北纬12度以北海域捕获的渔获物。</w:t>
      </w:r>
    </w:p>
    <w:p w:rsidR="00AF1702" w:rsidRDefault="00AF1702" w:rsidP="00AF1702">
      <w:pPr>
        <w:adjustRightInd w:val="0"/>
        <w:spacing w:line="360" w:lineRule="auto"/>
        <w:ind w:firstLineChars="200" w:firstLine="640"/>
        <w:rPr>
          <w:rFonts w:ascii="黑体" w:eastAsia="黑体" w:hAnsi="黑体" w:hint="eastAsia"/>
          <w:sz w:val="32"/>
          <w:szCs w:val="32"/>
        </w:rPr>
      </w:pPr>
      <w:r>
        <w:rPr>
          <w:rFonts w:ascii="黑体" w:eastAsia="黑体" w:hAnsi="黑体" w:hint="eastAsia"/>
          <w:sz w:val="32"/>
          <w:szCs w:val="32"/>
        </w:rPr>
        <w:t>四、处罚措施</w:t>
      </w:r>
    </w:p>
    <w:p w:rsidR="00AF1702" w:rsidRDefault="00AF1702" w:rsidP="00AF1702">
      <w:pPr>
        <w:adjustRightInd w:val="0"/>
        <w:spacing w:line="360" w:lineRule="auto"/>
        <w:ind w:firstLineChars="200" w:firstLine="640"/>
        <w:rPr>
          <w:rFonts w:ascii="仿宋_GB2312" w:eastAsia="仿宋_GB2312" w:hAnsi="Times New Roman" w:hint="eastAsia"/>
          <w:sz w:val="32"/>
          <w:szCs w:val="32"/>
        </w:rPr>
      </w:pPr>
      <w:r>
        <w:rPr>
          <w:rFonts w:ascii="仿宋_GB2312" w:eastAsia="仿宋_GB2312" w:hint="eastAsia"/>
          <w:sz w:val="32"/>
          <w:szCs w:val="32"/>
        </w:rPr>
        <w:t>渔获物中幼鱼超过规定比例的，依据《渔业法》第三十八条予以处罚。</w:t>
      </w:r>
    </w:p>
    <w:p w:rsidR="00AF1702" w:rsidRDefault="00AF1702" w:rsidP="00AF1702">
      <w:pPr>
        <w:adjustRightInd w:val="0"/>
        <w:spacing w:line="360" w:lineRule="auto"/>
        <w:ind w:firstLineChars="200" w:firstLine="640"/>
        <w:rPr>
          <w:rFonts w:ascii="黑体" w:eastAsia="黑体" w:hAnsi="黑体" w:hint="eastAsia"/>
          <w:sz w:val="32"/>
          <w:szCs w:val="32"/>
        </w:rPr>
      </w:pPr>
      <w:r>
        <w:rPr>
          <w:rFonts w:ascii="黑体" w:eastAsia="黑体" w:hAnsi="黑体" w:hint="eastAsia"/>
          <w:sz w:val="32"/>
          <w:szCs w:val="32"/>
        </w:rPr>
        <w:t>五、其他</w:t>
      </w:r>
    </w:p>
    <w:p w:rsidR="00AF1702" w:rsidRDefault="00AF1702" w:rsidP="00AF1702">
      <w:pPr>
        <w:adjustRightInd w:val="0"/>
        <w:spacing w:line="360" w:lineRule="auto"/>
        <w:ind w:firstLineChars="200" w:firstLine="640"/>
        <w:rPr>
          <w:rFonts w:ascii="仿宋_GB2312" w:eastAsia="仿宋_GB2312" w:hAnsi="Times New Roman" w:hint="eastAsia"/>
          <w:sz w:val="32"/>
          <w:szCs w:val="32"/>
        </w:rPr>
      </w:pPr>
      <w:r>
        <w:rPr>
          <w:rFonts w:ascii="仿宋_GB2312" w:eastAsia="仿宋_GB2312" w:hint="eastAsia"/>
          <w:sz w:val="32"/>
          <w:szCs w:val="32"/>
        </w:rPr>
        <w:t>各省级海洋渔业主管部门可在本规定基础上制定更加严格或覆盖范围更广的标准，并针对幼鱼运输、加工、交易和利用等环节制定相应管理规定。</w:t>
      </w:r>
    </w:p>
    <w:p w:rsidR="00AF1702" w:rsidRDefault="00AF1702" w:rsidP="00AF1702">
      <w:pPr>
        <w:adjustRightInd w:val="0"/>
        <w:spacing w:line="360" w:lineRule="auto"/>
        <w:ind w:firstLineChars="200" w:firstLine="640"/>
        <w:rPr>
          <w:rFonts w:ascii="仿宋_GB2312" w:eastAsia="仿宋_GB2312" w:hint="eastAsia"/>
          <w:sz w:val="32"/>
          <w:szCs w:val="32"/>
        </w:rPr>
      </w:pPr>
      <w:r>
        <w:rPr>
          <w:rFonts w:ascii="仿宋_GB2312" w:eastAsia="仿宋_GB2312" w:hint="eastAsia"/>
          <w:sz w:val="32"/>
          <w:szCs w:val="32"/>
        </w:rPr>
        <w:t>本通告自</w:t>
      </w:r>
      <w:smartTag w:uri="urn:schemas-microsoft-com:office:smarttags" w:element="chsdate">
        <w:smartTagPr>
          <w:attr w:name="Year" w:val="2018"/>
          <w:attr w:name="Month" w:val="5"/>
          <w:attr w:name="Day" w:val="1"/>
          <w:attr w:name="IsLunarDate" w:val="False"/>
          <w:attr w:name="IsROCDate" w:val="False"/>
        </w:smartTagPr>
        <w:r>
          <w:rPr>
            <w:rFonts w:ascii="仿宋_GB2312" w:eastAsia="仿宋_GB2312" w:hint="eastAsia"/>
            <w:sz w:val="32"/>
            <w:szCs w:val="32"/>
          </w:rPr>
          <w:t>2018年5月1日起</w:t>
        </w:r>
      </w:smartTag>
      <w:r>
        <w:rPr>
          <w:rFonts w:ascii="仿宋_GB2312" w:eastAsia="仿宋_GB2312" w:hint="eastAsia"/>
          <w:sz w:val="32"/>
          <w:szCs w:val="32"/>
        </w:rPr>
        <w:t>正式实施。</w:t>
      </w:r>
    </w:p>
    <w:p w:rsidR="00AF1702" w:rsidRDefault="00AF1702" w:rsidP="00AF1702">
      <w:pPr>
        <w:adjustRightInd w:val="0"/>
        <w:spacing w:line="360" w:lineRule="auto"/>
        <w:ind w:firstLineChars="200" w:firstLine="640"/>
        <w:rPr>
          <w:rFonts w:ascii="仿宋_GB2312" w:eastAsia="仿宋_GB2312" w:hint="eastAsia"/>
          <w:sz w:val="32"/>
          <w:szCs w:val="32"/>
        </w:rPr>
      </w:pPr>
    </w:p>
    <w:p w:rsidR="00AF1702" w:rsidRDefault="00AF1702" w:rsidP="00AF1702">
      <w:pPr>
        <w:adjustRightInd w:val="0"/>
        <w:spacing w:line="360" w:lineRule="auto"/>
        <w:ind w:firstLineChars="200" w:firstLine="640"/>
        <w:rPr>
          <w:rFonts w:ascii="仿宋_GB2312" w:eastAsia="仿宋_GB2312" w:hint="eastAsia"/>
          <w:sz w:val="32"/>
          <w:szCs w:val="32"/>
        </w:rPr>
      </w:pPr>
    </w:p>
    <w:p w:rsidR="00AF1702" w:rsidRDefault="00AF1702" w:rsidP="00AF1702">
      <w:pPr>
        <w:adjustRightInd w:val="0"/>
        <w:spacing w:line="360" w:lineRule="auto"/>
        <w:ind w:firstLineChars="1950" w:firstLine="6240"/>
        <w:rPr>
          <w:rFonts w:ascii="仿宋_GB2312" w:eastAsia="仿宋_GB2312" w:hint="eastAsia"/>
          <w:sz w:val="32"/>
          <w:szCs w:val="32"/>
        </w:rPr>
      </w:pPr>
      <w:r>
        <w:rPr>
          <w:rFonts w:ascii="仿宋_GB2312" w:eastAsia="仿宋_GB2312" w:hint="eastAsia"/>
          <w:sz w:val="32"/>
          <w:szCs w:val="32"/>
        </w:rPr>
        <w:t>农业部</w:t>
      </w:r>
    </w:p>
    <w:p w:rsidR="00AF1702" w:rsidRDefault="00AF1702" w:rsidP="00AF1702">
      <w:pPr>
        <w:adjustRightInd w:val="0"/>
        <w:spacing w:line="360" w:lineRule="auto"/>
        <w:ind w:firstLineChars="1800" w:firstLine="5760"/>
        <w:rPr>
          <w:rFonts w:ascii="仿宋_GB2312" w:eastAsia="仿宋_GB2312"/>
          <w:sz w:val="32"/>
          <w:szCs w:val="32"/>
        </w:rPr>
        <w:sectPr w:rsidR="00AF1702">
          <w:pgSz w:w="11906" w:h="16838"/>
          <w:pgMar w:top="1440" w:right="1797" w:bottom="1440" w:left="1797" w:header="851" w:footer="992" w:gutter="0"/>
          <w:cols w:space="720"/>
          <w:docGrid w:type="lines" w:linePitch="312"/>
        </w:sectPr>
      </w:pPr>
      <w:r>
        <w:rPr>
          <w:rFonts w:ascii="仿宋_GB2312" w:eastAsia="仿宋_GB2312" w:hint="eastAsia"/>
          <w:sz w:val="32"/>
          <w:szCs w:val="32"/>
        </w:rPr>
        <w:t>2018年X月X日</w:t>
      </w:r>
    </w:p>
    <w:p w:rsidR="00611742" w:rsidRDefault="00611742"/>
    <w:sectPr w:rsidR="006117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742" w:rsidRDefault="00611742" w:rsidP="00AF1702">
      <w:r>
        <w:separator/>
      </w:r>
    </w:p>
  </w:endnote>
  <w:endnote w:type="continuationSeparator" w:id="1">
    <w:p w:rsidR="00611742" w:rsidRDefault="00611742" w:rsidP="00AF17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742" w:rsidRDefault="00611742" w:rsidP="00AF1702">
      <w:r>
        <w:separator/>
      </w:r>
    </w:p>
  </w:footnote>
  <w:footnote w:type="continuationSeparator" w:id="1">
    <w:p w:rsidR="00611742" w:rsidRDefault="00611742" w:rsidP="00AF1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1702"/>
    <w:rsid w:val="00611742"/>
    <w:rsid w:val="00AF17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F17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F1702"/>
    <w:rPr>
      <w:sz w:val="18"/>
      <w:szCs w:val="18"/>
    </w:rPr>
  </w:style>
  <w:style w:type="paragraph" w:styleId="a4">
    <w:name w:val="footer"/>
    <w:basedOn w:val="a"/>
    <w:link w:val="Char0"/>
    <w:uiPriority w:val="99"/>
    <w:semiHidden/>
    <w:unhideWhenUsed/>
    <w:rsid w:val="00AF17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F1702"/>
    <w:rPr>
      <w:sz w:val="18"/>
      <w:szCs w:val="18"/>
    </w:rPr>
  </w:style>
</w:styles>
</file>

<file path=word/webSettings.xml><?xml version="1.0" encoding="utf-8"?>
<w:webSettings xmlns:r="http://schemas.openxmlformats.org/officeDocument/2006/relationships" xmlns:w="http://schemas.openxmlformats.org/wordprocessingml/2006/main">
  <w:divs>
    <w:div w:id="12469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moa</dc:creator>
  <cp:keywords/>
  <dc:description/>
  <cp:lastModifiedBy>moa</cp:lastModifiedBy>
  <cp:revision>3</cp:revision>
  <dcterms:created xsi:type="dcterms:W3CDTF">2017-12-07T06:53:00Z</dcterms:created>
  <dcterms:modified xsi:type="dcterms:W3CDTF">2017-12-07T06:54:00Z</dcterms:modified>
</cp:coreProperties>
</file>